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BLV 2026 — Allgemeine Regelungen</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Eine Ausbildung entspricht inhaltlich den Anforderungen des jeweiligen Vorbereitungsdienstes, wenn</w:t>
      </w:r>
    </w:p>
    <w:p>
      <w:pPr>
        <w:ind w:left="420"/>
      </w:pPr>
      <w:r>
        <w:t xml:space="preserve">1. sie die wesentlichen Inhalte des Vorbereitungsdienstes in gleicher Breite und Tiefe vermittelt hat und</w:t>
      </w:r>
    </w:p>
    <w:p>
      <w:pPr>
        <w:ind w:left="420"/>
      </w:pPr>
      <w:r>
        <w:t xml:space="preserve">2. die abschließende Prüfung der entsprechenden Laufbahnprüfung gleichwertig ist.</w:t>
      </w:r>
    </w:p>
    <w:p>
      <w:r>
        <w:t xml:space="preserve">(2) Die hauptberufliche Tätigkeit muss nach Fachrichtung und Schwierigkeit der Tätigkeit einer Beamtin oder eines Beamten der angestrebten Laufbahn entsprechen. Erfüllt die hauptberufliche Tätigkeit diese Voraussetzung, so darf sie von der nach § 8 Absatz 1 zuständigen Behörde nicht bei der Anerkennung der Befähigung ausgeschlossen werden. Bei einer hauptberuflichen Tätigkeit, die im öffentlichen Dienst ausgeübt worden ist, richtet sich die Bewertung der Schwierigkeit nach der besoldungsrechtlichen oder tarifrechtlichen Bewertung dieser Tätigkeit.</w:t>
      </w:r>
    </w:p>
    <w:p>
      <w:r>
        <w:t xml:space="preserve">(3) Regelmäßige und verkürzte Arbeitszeiten sind gleichzubehandeln, soweit nicht zwingende sachliche Gründe entgegenstehen.</w:t>
      </w:r>
    </w:p>
    <w:p>
      <w:r>
        <w:t xml:space="preserve">(4) Elternzeit gilt als hauptberufliche Tätigkeit, wenn vor Beginn der Elternzeit eine hauptberufliche Tätigkeit von insgesamt mindestens sechs Monaten ausgeübt worden ist. Ist die hauptberufliche Tätigkeit im öffentlichen Dienst ausgeübt worden, so gilt Elternzeit auch dann als ausgeübte hauptberufliche Tätigkeit, wenn die hauptberufliche Tätigkeit vor Beginn der Elternzeit weniger als sechs Monate ausgeübt worden ist.</w:t>
      </w:r>
    </w:p>
    <w:p>
      <w:r>
        <w:rPr>
          <w:color w:val="555555"/>
          <w:sz w:val="17"/>
        </w:rPr>
        <w:t xml:space="preserve">Zitiervorschlag: § 21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