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BLV 2026 — Einrichtung von Vorbereitungsdiensten; Subdelegation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in § 26 Absatz 2 Satz 1 des Bundesbeamtengesetzes enthaltene Ermächtigung, durch Rechtsverordnung besondere Vorschriften für die einzelnen Laufbahnen und Vorbereitungsdienste zu erlassen, wird für die in Anlage 2 genannten Vorbereitungsdienste den dort genannten obersten Dienstbehörden übertragen.</w:t>
      </w:r>
    </w:p>
    <w:p>
      <w:r>
        <w:t xml:space="preserve">(2) Die Rechtsverordnungen nach Absatz 1 müssen insbesondere Inhalt und Dauer der Vorbereitungsdienste sowie die Prüfung und das Prüfungsverfahren regeln. Die vorzusehenden Prüfungsnoten ergeben sich aus Anlage 3.</w:t>
      </w:r>
    </w:p>
    <w:p>
      <w:r>
        <w:t xml:space="preserve">(3) Die Rechtsverordnungen nach Absatz 1 können vorsehen, dass mit erfolgreichem Abschluss eines Vorbereitungsdienstes für den mittleren Dienst eine Berufsbezeichnung verliehen wird.</w:t>
      </w:r>
    </w:p>
    <w:p>
      <w:r>
        <w:rPr>
          <w:color w:val="555555"/>
          <w:sz w:val="17"/>
        </w:rPr>
        <w:t xml:space="preserve">Zitiervorschlag: § 10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BLV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