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BLV 2009 — Inkrafttreten, Außerkrafttreten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Historische Fassung: Stand 10.06.2019 bis 17.03.2026. Dies ist nicht die aktuelle Fassung.</w:t>
      </w:r>
    </w:p>
    <w:p>
      <w:r>
        <w:t xml:space="preserve">(1) Diese Verordnung tritt vorbehaltlich des Absatzes 2 am Tag nach der Verkündung in Kraft.</w:t>
      </w:r>
    </w:p>
    <w:p>
      <w:r>
        <w:t xml:space="preserve">(2) § 29 Absatz 3 Nummer 4 tritt am 1. Juli 2009 in Kraft.</w:t>
      </w:r>
    </w:p>
    <w:p>
      <w:r>
        <w:rPr>
          <w:color w:val="555555"/>
          <w:sz w:val="17"/>
        </w:rPr>
        <w:t xml:space="preserve">Zitiervorschlag: § 57 BLV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https://recht.nulegal.eu/gesetze/BLV%202009/57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