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55 BLV 2009 — Übergangsregelung zu § 27</w:t>
      </w:r>
    </w:p>
    <w:p>
      <w:r>
        <w:rPr>
          <w:color w:val="555555"/>
          <w:sz w:val="18"/>
        </w:rPr>
        <w:t xml:space="preserve">Bundeslaufbahnverordnung</w:t>
      </w:r>
    </w:p>
    <w:p>
      <w:r>
        <w:rPr>
          <w:color w:val="555555"/>
          <w:sz w:val="18"/>
        </w:rPr>
        <w:t xml:space="preserve">Historische Fassung: Stand 10.06.2019 bis 17.03.2026. Dies ist nicht die aktuelle Fassung.</w:t>
      </w:r>
    </w:p>
    <w:p>
      <w:r>
        <w:t xml:space="preserve">Auf Beamtinnen und Beamte, die zum Zeitpunkt des Inkrafttretens dieser Verordnung die Voraussetzungen des § 27 Absatz 1 Nummer 1 und 2 erfüllen, ist § 27 Absatz 1 Nummer 3 bis zum 31. Dezember 2019 mit der Maßgabe anzuwenden, dass anstelle der letzten zwei Beurteilungen eine Anlassbeurteilung erstellt werden kann.</w:t>
      </w:r>
    </w:p>
    <w:p>
      <w:r>
        <w:rPr>
          <w:color w:val="555555"/>
          <w:sz w:val="17"/>
        </w:rPr>
        <w:t xml:space="preserve">Zitiervorschlag: § 55 BLV 2009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https://recht.nulegal.eu/gesetze/BLV%202009/55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