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BLV 2009 — Überleitung der Beamtinnen und Beamten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(1) Beamtinnen und Beamte, die sich beim Inkrafttreten dieser Rechtsverordnung bereits in einer Laufbahn befinden, die in § 35 Absatz 8 oder den Anlagen 1 bis 5 der Bundeslaufbahnverordnung in der Fassung der Bekanntmachung vom 2. Juli 2002 (BGBl. I S. 2459, 2671), die zuletzt durch Artikel 15 Absatz 28 des Gesetzes vom 5. Februar 2009 (BGBl. I S. 160) geändert worden ist, genannt wird, besitzen die Befähigung für die in § 6 dieser Rechtsverordnung aufgeführte entsprechende Laufbahn. Welche Laufbahnen sich entsprechen, ist in Anlage 4 festgelegt. Im Übrigen besitzen sie die Befähigung für eine in § 6 dieser Rechtsverordnung aufgeführte Laufbahn, die ihrer Fachrichtung entspricht.</w:t>
      </w:r>
    </w:p>
    <w:p>
      <w:r>
        <w:t xml:space="preserve">(2) Beamtinnen und Beamte, die sich bei Inkrafttreten dieser Rechtsverordnung in Laufbahnen des Post- und Fernmeldedienstes oder der ehemaligen Bundesanstalt für Flugsicherung befinden, besitzen auch die Befähigung für eine in § 6 dieser Rechtsverordnung aufgeführte Laufbahn, die ihrer Fachrichtung entspricht.</w:t>
      </w:r>
    </w:p>
    <w:p>
      <w:r>
        <w:t xml:space="preserve">(3) Beamtinnen und Beamte, die sich am 26. Januar 2017 in einer der Laufbahnen des tierärztlichen Dienstes oder des agrar-, forst- und ernährungswissenschaftlichen Dienstes befunden haben, besitzen die Befähigung für die Laufbahn des agrar-, forst- und ernährungswissenschaftlichen sowie tierärztlichen Dienstes in ihrer bisherigen Laufbahngruppe.</w:t>
      </w:r>
    </w:p>
    <w:p>
      <w:r>
        <w:t xml:space="preserve">(4) Amtsbezeichnungen, die beim Inkrafttreten dieser Rechtsverordnung geführt werden, können bis zur Übertragung eines anderen Amtes weitergeführt werden.</w:t>
      </w:r>
    </w:p>
    <w:p>
      <w:r>
        <w:t xml:space="preserve">(5) Beamtinnen und Beamte, die am 1. März 2020 die Amtsbezeichnung Oberamtsgehilfin/Oberamtsgehilfe oder Wachtmeisterin/Wachtmeister führen, können diese bis zur Übertragung eines anderen Amtes weiterführen.</w:t>
      </w:r>
    </w:p>
    <w:p>
      <w:r>
        <w:rPr>
          <w:color w:val="555555"/>
          <w:sz w:val="17"/>
        </w:rPr>
        <w:t xml:space="preserve">Zitiervorschlag: § 51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