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BLV 2009 — Internationale Verwendungen</w:t>
      </w:r>
    </w:p>
    <w:p>
      <w:r>
        <w:rPr>
          <w:color w:val="555555"/>
          <w:sz w:val="18"/>
        </w:rPr>
        <w:t xml:space="preserve">Bundeslaufbahnverordnung</w:t>
      </w:r>
    </w:p>
    <w:p>
      <w:r>
        <w:rPr>
          <w:color w:val="555555"/>
          <w:sz w:val="18"/>
        </w:rPr>
        <w:t xml:space="preserve">Historische Fassung: Stand 10.06.2019 bis 17.03.2026. Dies ist nicht die aktuelle Fassung.</w:t>
      </w:r>
    </w:p>
    <w:p>
      <w:r>
        <w:t xml:space="preserve">Erfolgreich absolvierte hauptberufliche Tätigkeiten in einer öffentlichen zwischenstaatlichen oder überstaatlichen Einrichtung, in der Verwaltung eines Mitgliedstaats der Europäischen Union oder in einer öffentlichen Einrichtung eines Mitgliedstaats der Europäischen Union während einer Beurlaubung nach § 6 Absatz 1 der Sonderurlaubsverordnung sind besonders zu berücksichtigen, wenn Erfahrungen und Kenntnisse im internationalen Bereich für den Dienstposten wesentlich sind. Sie dürfen sich im Übrigen nicht nachteilig auf das berufliche Fortkommen der Beamtinnen und Beamten auswirken.</w:t>
      </w:r>
    </w:p>
    <w:p>
      <w:r>
        <w:rPr>
          <w:color w:val="555555"/>
          <w:sz w:val="17"/>
        </w:rPr>
        <w:t xml:space="preserve">Zitiervorschlag: § 45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