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BLV 2009 — Wechsel von einem anderen Dienstherrn</w:t>
      </w:r>
    </w:p>
    <w:p>
      <w:r>
        <w:rPr>
          <w:color w:val="555555"/>
          <w:sz w:val="18"/>
        </w:rPr>
        <w:t xml:space="preserve">Bundeslaufbahnverordnung</w:t>
      </w:r>
    </w:p>
    <w:p>
      <w:r>
        <w:rPr>
          <w:color w:val="555555"/>
          <w:sz w:val="18"/>
        </w:rPr>
        <w:t xml:space="preserve">Historische Fassung: Stand 25.08.2021 bis 17.03.2026. Dies ist nicht die aktuelle Fassung.</w:t>
      </w:r>
    </w:p>
    <w:p>
      <w:r>
        <w:t xml:space="preserve">(1) Beim Wechsel von Beamtinnen und Beamten und früheren Beamtinnen und Beamten anderer Dienstherren in ein Beamtenverhältnis beim Bund sowie bei bundesunmittelbaren Körperschaften, Anstalten und Stiftungen des öffentlichen Rechts sind die §§ 6 bis 9 und die §§ 18 bis 26 sowie § 43 entsprechend anzuwenden.</w:t>
      </w:r>
    </w:p>
    <w:p>
      <w:r>
        <w:t xml:space="preserve">(2) Auf die Mindestprobezeit und auf die Probezeit sind die Zeiten anzurechnen, in denen sich die Beamtin oder der Beamte, nachdem sie oder er die Laufbahnbefähigung erworben hat, bei einem anderen Dienstherrn in einer gleichwertigen Laufbahn bewährt hat.</w:t>
      </w:r>
    </w:p>
    <w:p>
      <w:r>
        <w:rPr>
          <w:color w:val="555555"/>
          <w:sz w:val="17"/>
        </w:rPr>
        <w:t xml:space="preserve">Zitiervorschlag: § 44 BLV 2009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https://recht.nulegal.eu/gesetze/BLV%202009/44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