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BLV 2009 — Auswahlentscheidungen</w:t>
      </w:r>
    </w:p>
    <w:p>
      <w:r>
        <w:rPr>
          <w:color w:val="555555"/>
          <w:sz w:val="18"/>
        </w:rPr>
        <w:t xml:space="preserve">Bundeslaufbahnverordnung</w:t>
      </w:r>
    </w:p>
    <w:p>
      <w:r>
        <w:rPr>
          <w:color w:val="555555"/>
          <w:sz w:val="18"/>
        </w:rPr>
        <w:t xml:space="preserve">Historische Fassung: Stand 25.08.2021 bis 17.03.2026. Dies ist nicht die aktuelle Fassung.</w:t>
      </w:r>
    </w:p>
    <w:p>
      <w:r>
        <w:t xml:space="preserve">(1) Feststellungen über Eignung, Befähigung und fachliche Leistung sind in der Regel auf der Grundlage aktueller dienstlicher Beurteilungen zu treffen. Frühere Beurteilungen sind zusätzlich zu berücksichtigen und vor Hilfskriterien heranzuziehen. Zur Überprüfung der Erfüllung von Anforderungen, zu denen die dienstlichen Beurteilungen keinen oder keinen hinreichenden Aufschluss geben, können eignungsdiagnostische Instrumente eingesetzt werden. Dies kann insbesondere der Fall sein, wenn erstmals Leitungs- oder Führungsaufgaben übertragen werden sollen. Die §§ 8 und 9 des Bundesgleichstellungsgesetzes sind zu beachten.</w:t>
      </w:r>
    </w:p>
    <w:p>
      <w:r>
        <w:t xml:space="preserve">(2) Erfolgreich absolvierte Tätigkeiten in einer öffentlichen zwischenstaatlichen oder überstaatlichen Einrichtung, in der Verwaltung eines Mitgliedstaats der Europäischen Union oder in einer öffentlichen Einrichtung eines Mitgliedstaats der Europäischen Union während einer Beurlaubung nach § 6 Absatz 1 der Sonderurlaubsverordnung sind besonders zu berücksichtigen. Langjährige Leistungen, die wechselnden Anforderungen gleichmäßig gerecht geworden sind, sind angemessen zu berücksichtigen.</w:t>
      </w:r>
    </w:p>
    <w:p>
      <w:r>
        <w:t xml:space="preserve">(2a) Beamtinnen und Beamte, die zur Ausübung einer gleichwertigen hauptberuflichen Tätigkeit bei einer Fraktion des Deutschen Bundestages, eines Landtages oder des Europäischen Parlaments beurlaubt sind, sind in entsprechender Anwendung des § 21 des Bundesbeamtengesetzes von der Fraktion zu beurteilen. § 50 Absatz 2 findet in diesen Fällen keine Anwendung. Der Zeitpunkt der Erstellung der Beurteilung richtet sich nach dem Regelbeurteilungsdurchgang der beurlaubenden Dienststelle.</w:t>
      </w:r>
    </w:p>
    <w:p>
      <w:r>
        <w:t xml:space="preserve">(3) Liegt keine aktuelle dienstliche Beurteilung vor, ist jedenfalls in folgenden Fällen die letzte regelmäßige dienstliche Beurteilung unter Berücksichtigung der Entwicklung vergleichbarer Beamtinnen und Beamten fiktiv fortzuschreiben:</w:t>
      </w:r>
    </w:p>
    <w:p>
      <w:pPr>
        <w:ind w:left="420"/>
      </w:pPr>
      <w:r>
        <w:t xml:space="preserve">1. bei Beurlaubungen nach § 6 Absatz 1 der Sonderurlaubsverordnung zur Ausübung einer gleichwertigen hauptberuflichen Tätigkeit, wenn die Vergleichbarkeit der Beurteilung der öffentlichen zwischenstaatlichen oder überstaatlichen Einrichtung, der Verwaltung eines Mitgliedstaats der Europäischen Union oder der öffentlichen Einrichtung eines Mitgliedstaats der Europäischen Union mit der dienstlichen Beurteilung nicht gegeben ist,</w:t>
      </w:r>
    </w:p>
    <w:p>
      <w:pPr>
        <w:ind w:left="420"/>
      </w:pPr>
      <w:r>
        <w:t xml:space="preserve">2. bei Elternzeit mit vollständiger Freistellung von der dienstlichen Tätigkeit und</w:t>
      </w:r>
    </w:p>
    <w:p>
      <w:pPr>
        <w:ind w:left="420"/>
      </w:pPr>
      <w:r>
        <w:t xml:space="preserve">3. bei Freistellungen von der dienstlichen Tätigkeit wegen einer Mitgliedschaft im Personalrat, als Vertrauensperson der schwerbehinderten Menschen oder bei Entlastungen als Gleichstellungsbeauftragte, wenn die dienstliche Tätigkeit jeweils weniger als 25 Prozent der Arbeitszeit beansprucht.</w:t>
      </w:r>
    </w:p>
    <w:p>
      <w:r>
        <w:t xml:space="preserve">In den Fällen des Satzes 1 Nummer 1 sollen für die fiktive Fortschreibung auch Beurteilungen der aufnehmenden Stelle herangezogen werden.</w:t>
      </w:r>
    </w:p>
    <w:p>
      <w:r>
        <w:t xml:space="preserve">(4) Haben sich Vorbereitungsdienst und Probezeit um Zeiten verlängert, in denen ein Dienst nach § 15 Absatz 1 Satz 1 Nummer 4 abgeleistet worden ist, sind die sich daraus ergebenden zeitlichen Verzögerungen angemessen auszugleichen. Zu diesem Zweck kann während der Probezeit befördert werden, wenn die sonstigen Voraussetzungen des § 32 vorliegen. Die Sätze 1 und 2 gelten entsprechend für eine Person, die einen der in § 15 Absatz 1 Satz 1 Nummer 4 genannten Dienste abgeleistet und</w:t>
      </w:r>
    </w:p>
    <w:p>
      <w:pPr>
        <w:ind w:left="420"/>
      </w:pPr>
      <w:r>
        <w:t xml:space="preserve">1. sich innerhalb von sechs Monaten nach Beendigung des Dienstes um Einstellung beworben hat,</w:t>
      </w:r>
    </w:p>
    <w:p>
      <w:pPr>
        <w:ind w:left="420"/>
      </w:pPr>
      <w:r>
        <w:t xml:space="preserve">2. im Anschluss an den Dienst einen Ausbildungsgang zum Erwerb eines berufsqualifizierenden Abschlusses begonnen und sich innerhalb von sechs Monaten nach Erwerb des Abschlusses um Einstellung beworben hat,</w:t>
      </w:r>
    </w:p>
    <w:p>
      <w:pPr>
        <w:ind w:left="420"/>
      </w:pPr>
      <w:r>
        <w:t xml:space="preserve">3. im Anschluss an den Dienst einen Ausbildungsgang zum Erwerb eines berufsqualifizierenden Abschlusses begonnen und im Anschluss an den Erwerb des berufsqualifizierenden Abschlusses eine hauptberufliche Tätigkeit nach den §§ 19 bis 21 begonnen und sich innerhalb von sechs Monaten nach Ableistung der vorgeschriebenen Tätigkeit um Einstellung beworben hat oder</w:t>
      </w:r>
    </w:p>
    <w:p>
      <w:pPr>
        <w:ind w:left="420"/>
      </w:pPr>
      <w:r>
        <w:t xml:space="preserve">4. im Anschluss an den Dienst eine hauptberufliche Tätigkeit nach den §§ 19 bis 21 begonnen und sich innerhalb von sechs Monaten nach Ableistung der vorgeschriebenen Tätigkeit um Einstellung beworben hat</w:t>
      </w:r>
    </w:p>
    <w:p>
      <w:r>
        <w:t xml:space="preserve">und auf Grund der Bewerbung eingestellt worden ist. Nicht auszugleichen sind Zeiten eines Dienstes nach § 15 Absatz 1 Satz 1 Nummer 4, wenn diese als Voraussetzung für die Zulassung zur Laufbahn oder nach § 20 des Bundesbeamtengesetzes berücksichtigt oder auf die Probezeit angerechnet worden sind.</w:t>
      </w:r>
    </w:p>
    <w:p>
      <w:r>
        <w:rPr>
          <w:color w:val="555555"/>
          <w:sz w:val="17"/>
        </w:rPr>
        <w:t xml:space="preserve">Zitiervorschlag: § 33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