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BLV 2009 — Mindestprobezeit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25.08.2021 bis 17.03.2026. Dies ist nicht die aktuelle Fassung.</w:t>
      </w:r>
    </w:p>
    <w:p>
      <w:r>
        <w:t xml:space="preserve">(1) Die Probezeit muss mindestens ein Jahr dauern (Mindestprobezeit).</w:t>
      </w:r>
    </w:p>
    <w:p>
      <w:r>
        <w:t xml:space="preserve">(2) Auf die Mindestprobezeit können hauptberufliche Tätigkeiten nicht nach § 29 Absatz 1 angerechnet werden.</w:t>
      </w:r>
    </w:p>
    <w:p>
      <w:r>
        <w:t xml:space="preserve">(3) Auf die Mindestprobezeit kann jedoch eine hauptberufliche Tätigkeit angerechnet werden, soweit die hauptberufliche Tätigkeit</w:t>
      </w:r>
    </w:p>
    <w:p>
      <w:pPr>
        <w:ind w:left="420"/>
      </w:pPr>
      <w:r>
        <w:t xml:space="preserve">1. nach Art und Schwierigkeit mindestens der Tätigkeit in einem Amt der betreffenden Laufbahn entspricht und</w:t>
      </w:r>
    </w:p>
    <w:p>
      <w:pPr>
        <w:ind w:left="420"/>
      </w:pPr>
      <w:r>
        <w:t xml:space="preserve">2. ausgeübt worden ist</w:t>
      </w:r>
    </w:p>
    <w:p>
      <w:pPr>
        <w:ind w:left="780"/>
      </w:pPr>
      <w:r>
        <w:t xml:space="preserve">a) im berufsmäßigen Wehrdienst,</w:t>
      </w:r>
    </w:p>
    <w:p>
      <w:pPr>
        <w:ind w:left="780"/>
      </w:pPr>
      <w:r>
        <w:t xml:space="preserve">b) in der obersten Dienstbehörde, die für die Bewährungsfeststellung zuständig ist, oder in deren Dienstbereich oder</w:t>
      </w:r>
    </w:p>
    <w:p>
      <w:pPr>
        <w:ind w:left="780"/>
      </w:pPr>
      <w:r>
        <w:t xml:space="preserve">c) in einem Beamtenverhältnis als Beamtin oder Beamter der Bundesbesoldungsordnung W oder C.</w:t>
      </w:r>
    </w:p>
    <w:p>
      <w:r>
        <w:rPr>
          <w:color w:val="555555"/>
          <w:sz w:val="17"/>
        </w:rPr>
        <w:t xml:space="preserve">Zitiervorschlag: § 31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BLV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