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BLV 2009 — Anrechnung hauptberuflicher Tätigkeiten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Historische Fassung: Stand 25.08.2021 bis 17.03.2026. Dies ist nicht die aktuelle Fassung.</w:t>
      </w:r>
    </w:p>
    <w:p>
      <w:r>
        <w:t xml:space="preserve">(1) Hauptberufliche Tätigkeiten, die nach Art und Schwierigkeit mindestens der Tätigkeit in einem Amt der betreffenden Laufbahn entsprechen, können auf die Probezeit angerechnet werden.</w:t>
      </w:r>
    </w:p>
    <w:p>
      <w:r>
        <w:t xml:space="preserve">(2) Nicht anzurechnen sind hauptberufliche Tätigkeiten,</w:t>
      </w:r>
    </w:p>
    <w:p>
      <w:pPr>
        <w:ind w:left="420"/>
      </w:pPr>
      <w:r>
        <w:t xml:space="preserve">1. die auf den Vorbereitungsdienst angerechnet worden sind oder</w:t>
      </w:r>
    </w:p>
    <w:p>
      <w:pPr>
        <w:ind w:left="420"/>
      </w:pPr>
      <w:r>
        <w:t xml:space="preserve">2. deren Ausübung Voraussetzung für die Zulassung zur Laufbahn ist.</w:t>
      </w:r>
    </w:p>
    <w:p>
      <w:r>
        <w:t xml:space="preserve">(3) § 19 Absatz 4 gilt entsprechend.</w:t>
      </w:r>
    </w:p>
    <w:p>
      <w:r>
        <w:rPr>
          <w:color w:val="555555"/>
          <w:sz w:val="17"/>
        </w:rPr>
        <w:t xml:space="preserve">Zitiervorschlag: § 29 BLV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https://recht.nulegal.eu/gesetze/BLV%202009/29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