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BLV 2009 — Übernahme von Richterinnen und Richtern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10.06.2019 bis 17.03.2026. Dies ist nicht die aktuelle Fassung.</w:t>
      </w:r>
    </w:p>
    <w:p>
      <w:r>
        <w:t xml:space="preserve">(1) Abweichend von § 25 kann Richterinnen und Richtern, die in die Laufbahn des höheren nichttechnischen Verwaltungsdienstes wechseln, ein Amt der Besoldungsgruppe A 14 der Bundesbesoldungsordnung A nach einem Jahr, ein Amt der Besoldungsgruppe A 15 nach zwei Jahren seit der Ernennung zur Richterin oder zum Richter auf Lebenszeit übertragen werden. Einer Richterin oder einem Richter der Besoldungsgruppe R 2 der Bundesbesoldungsordnung R kann ein Amt der Besoldungsgruppe A 16 der Bundesbesoldungsordnung A übertragen werden.</w:t>
      </w:r>
    </w:p>
    <w:p>
      <w:r>
        <w:t xml:space="preserve">(2) Absatz 1 gilt für Staatsanwältinnen und Staatsanwälte entsprechend.</w:t>
      </w:r>
    </w:p>
    <w:p>
      <w:r>
        <w:rPr>
          <w:color w:val="555555"/>
          <w:sz w:val="17"/>
        </w:rPr>
        <w:t xml:space="preserve">Zitiervorschlag: § 26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BLV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