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BLV 2009 — Gehobener Dienst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(1) Die Anerkennung der Befähigung für eine Laufbahn des gehobenen Dienstes nach § 7 Nummer 2 Buchstabe a setzt Folgendes voraus:</w:t>
      </w:r>
    </w:p>
    <w:p>
      <w:pPr>
        <w:ind w:left="420"/>
      </w:pPr>
      <w:r>
        <w:t xml:space="preserve">1. einen an einer Hochschule erworbenen Bachelor oder einen gleichwertigen Abschluss, wenn die jeweilige Ausbildung inhaltlich den Anforderungen eines fachspezifischen Vorbereitungsdienstes entsprochen hat, oder</w:t>
      </w:r>
    </w:p>
    <w:p>
      <w:pPr>
        <w:ind w:left="420"/>
      </w:pPr>
      <w:r>
        <w:t xml:space="preserve">2. einen an einer Hochschule erworbenen Bachelor sowie eine hauptberufliche Tätigkeit oder einen Abschluss, der einem Bachelor gleichwertig ist, sowie eine hauptberufliche Tätigkeit.</w:t>
      </w:r>
    </w:p>
    <w:p>
      <w:r>
        <w:t xml:space="preserve">Die Regelstudiendauer des Studiengangs, mit dem der Bachelor oder der gleichwertige Abschluss nach Satz 1 abgeschlossen wurde, muss mindestens drei Jahre betragen haben. Die Dauer der hauptberuflichen Tätigkeit nach Satz 1 Nummer 2 beträgt mindestens ein Jahr und sechs Monate. § 19 Absatz 2 bis 5 gilt entsprechend.</w:t>
      </w:r>
    </w:p>
    <w:p>
      <w:r>
        <w:t xml:space="preserve">(2) Die Befähigung für den gehobenen technischen Verwaltungsdienst hat auch, wer einen der folgenden Vorbereitungsdienste abgeschlossen hat:</w:t>
      </w:r>
    </w:p>
    <w:p>
      <w:pPr>
        <w:ind w:left="420"/>
      </w:pPr>
      <w:r>
        <w:t xml:space="preserve">1. den gehobenen Verwaltungsinformatikdienst des Bundes oder</w:t>
      </w:r>
    </w:p>
    <w:p>
      <w:pPr>
        <w:ind w:left="420"/>
      </w:pPr>
      <w:r>
        <w:t xml:space="preserve">2. den gehobenen nichttechnischen Verwaltungsdienst des Bundes – Fachrichtung digitale Verwaltung und IT-Sicherheit –.</w:t>
      </w:r>
    </w:p>
    <w:p>
      <w:r>
        <w:rPr>
          <w:color w:val="555555"/>
          <w:sz w:val="17"/>
        </w:rPr>
        <w:t xml:space="preserve">Zitiervorschlag: § 20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