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BLV 2009 — Mittlerer Dienst</w:t>
      </w:r>
    </w:p>
    <w:p>
      <w:r>
        <w:rPr>
          <w:color w:val="555555"/>
          <w:sz w:val="18"/>
        </w:rPr>
        <w:t xml:space="preserve">Bundeslaufbahnverordnung</w:t>
      </w:r>
    </w:p>
    <w:p>
      <w:r>
        <w:rPr>
          <w:color w:val="555555"/>
          <w:sz w:val="18"/>
        </w:rPr>
        <w:t xml:space="preserve">Historische Fassung: Stand 25.08.2021 bis 17.03.2026. Dies ist nicht die aktuelle Fassung.</w:t>
      </w:r>
    </w:p>
    <w:p>
      <w:r>
        <w:t xml:space="preserve">(1) Die Anerkennung der Befähigung für eine Laufbahn des mittleren Dienstes nach § 7 Nummer 2 Buchstabe a setzt neben den Bildungsvoraussetzungen Folgendes voraus:</w:t>
      </w:r>
    </w:p>
    <w:p>
      <w:pPr>
        <w:ind w:left="420"/>
      </w:pPr>
      <w:r>
        <w:t xml:space="preserve">1. eine abgeschlossene Berufsausbildung, die inhaltlich den Anforderungen eines fachspezifischen Vorbereitungsdienstes entspricht, oder</w:t>
      </w:r>
    </w:p>
    <w:p>
      <w:pPr>
        <w:ind w:left="420"/>
      </w:pPr>
      <w:r>
        <w:t xml:space="preserve">2. eine abgeschlossene Berufsausbildung und eine hauptberufliche Tätigkeit von mindestens einem Jahr und sechs Monaten.</w:t>
      </w:r>
    </w:p>
    <w:p>
      <w:r>
        <w:t xml:space="preserve">(2) Eine Ausbildung entspricht inhaltlich den Anforderungen eines fachspezifischen Vorbereitungsdienstes, wenn</w:t>
      </w:r>
    </w:p>
    <w:p>
      <w:pPr>
        <w:ind w:left="420"/>
      </w:pPr>
      <w:r>
        <w:t xml:space="preserve">1. sie seine wesentlichen Inhalte in gleicher Breite und Tiefe vermittelt hat und</w:t>
      </w:r>
    </w:p>
    <w:p>
      <w:pPr>
        <w:ind w:left="420"/>
      </w:pPr>
      <w:r>
        <w:t xml:space="preserve">2. die abschließende Prüfung der entsprechenden Laufbahnprüfung gleichwertig ist.</w:t>
      </w:r>
    </w:p>
    <w:p>
      <w:r>
        <w:t xml:space="preserve">(3) Die hauptberufliche Tätigkeit muss nach Fachrichtung und Schwierigkeit der Tätigkeit einer Beamtin oder eines Beamten derselben Laufbahn entsprechen. Erfüllt sie diese Voraussetzung, so darf sie von der nach § 8 Absatz 1 zuständigen Behörde nicht bei der Anerkennung der Befähigung ausgeschlossen werden. Bei einer hauptberuflichen Tätigkeit, die im öffentlichen Dienst ausgeübt worden ist, richtet sich die Bewertung der Schwierigkeit nach der besoldungsrechtlichen oder tarifrechtlichen Bewertung dieser Tätigkeit.</w:t>
      </w:r>
    </w:p>
    <w:p>
      <w:r>
        <w:t xml:space="preserve">(4) Ermäßigte und regelmäßige Arbeitszeiten sind gleich zu behandeln, soweit nicht zwingende sachliche Gründe entgegenstehen.</w:t>
      </w:r>
    </w:p>
    <w:p>
      <w:r>
        <w:t xml:space="preserve">(5) Elternzeit gilt als hauptberufliche Tätigkeit, wenn vor Beginn der Elternzeit eine hauptberufliche Tätigkeit von insgesamt mindestens sechs Monaten ausgeübt worden ist. Ist die hauptberufliche Tätigkeit im öffentlichen Dienst ausgeübt worden, so gilt Elternzeit auch dann als ausgeübte hauptberufliche Tätigkeit, wenn die hauptberufliche Tätigkeit vor Beginn der Elternzeit weniger als sechs Monate ausgeübt worden ist.</w:t>
      </w:r>
    </w:p>
    <w:p>
      <w:r>
        <w:rPr>
          <w:color w:val="555555"/>
          <w:sz w:val="17"/>
        </w:rPr>
        <w:t xml:space="preserve">Zitiervorschlag: § 19 BLV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https://recht.nulegal.eu/gesetze/BLV%202009/19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