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BLGABV</w:t>
      </w:r>
    </w:p>
    <w:p>
      <w:r>
        <w:rPr>
          <w:color w:val="555555"/>
          <w:sz w:val="18"/>
        </w:rPr>
        <w:t xml:space="preserve">Anforderungsbehörden- und Bedarfsträgerverordnung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1, des § 7 Abs. 2 sowie der §§ 79 und 80 des Bundesleistungsgesetzes in der im Bundesgesetzblatt Teil III, Gliederungsnummer 54-1, veröffentlichten bereinigten Fassung verordnet die Bundesregierung:</w:t>
      </w:r>
    </w:p>
    <w:p>
      <w:r>
        <w:rPr>
          <w:color w:val="555555"/>
          <w:sz w:val="17"/>
        </w:rPr>
        <w:t xml:space="preserve">Zitiervorschlag: Eingangsformel BLGABV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