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BLGABV — Inkrafttreten</w:t>
      </w:r>
    </w:p>
    <w:p>
      <w:r>
        <w:rPr>
          <w:color w:val="555555"/>
          <w:sz w:val="18"/>
        </w:rPr>
        <w:t xml:space="preserve">Anforderungsbehörden- und Bedarfsträgerverordnung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ersten Tage des auf die Verkündung folgenden Kalendermonats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9 BLGABV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https://recht.nulegal.eu/gesetze/BLGABV/9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