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BLGABV — Bedarfsträger</w:t>
      </w:r>
    </w:p>
    <w:p>
      <w:r>
        <w:rPr>
          <w:color w:val="555555"/>
          <w:sz w:val="18"/>
        </w:rPr>
        <w:t xml:space="preserve">Anforderungsbehörden- und Bedarfsträgerverordnung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Bedarfsträger gemäß § 7 Abs. 2 des Bundesleistungsgesetzes sind</w:t>
      </w:r>
    </w:p>
    <w:p>
      <w:pPr>
        <w:ind w:left="420"/>
      </w:pPr>
      <w:r>
        <w:t xml:space="preserve">1. der Bund, auch soweit es sich um den Bedarf der verbündeten Streitkräfte und der internationalen militärischen Hauptquartiere im Geltungsbereich des Bundesleistungsgesetzes handelt,</w:t>
      </w:r>
    </w:p>
    <w:p>
      <w:pPr>
        <w:ind w:left="420"/>
      </w:pPr>
      <w:r>
        <w:t xml:space="preserve">2. die Länder,</w:t>
      </w:r>
    </w:p>
    <w:p>
      <w:pPr>
        <w:ind w:left="420"/>
      </w:pPr>
      <w:r>
        <w:t xml:space="preserve">3. die Gemeinden und Gemeindeverbände,</w:t>
      </w:r>
    </w:p>
    <w:p>
      <w:pPr>
        <w:ind w:left="420"/>
      </w:pPr>
      <w:r>
        <w:t xml:space="preserve">4. die Träger der Sozialhilfe,</w:t>
      </w:r>
    </w:p>
    <w:p>
      <w:pPr>
        <w:ind w:left="420"/>
      </w:pPr>
      <w:r>
        <w:t xml:space="preserve">5. die Zweckverbände, die der öffentlichen Versorgung mit Elektrizität, Gas, Wasser oder der Abwasserbeseitigung dienen oder Krankenhäuser unterhalten.</w:t>
      </w:r>
    </w:p>
    <w:p>
      <w:r>
        <w:rPr>
          <w:color w:val="555555"/>
          <w:sz w:val="17"/>
        </w:rPr>
        <w:t xml:space="preserve">Zitiervorschlag: § 6 BLGABV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https://recht.nulegal.eu/gesetze/BLGABV/6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