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BLGABV — Örtliche Zuständigkeit bei Schiffen</w:t>
      </w:r>
    </w:p>
    <w:p>
      <w:r>
        <w:rPr>
          <w:color w:val="555555"/>
          <w:sz w:val="18"/>
        </w:rPr>
        <w:t xml:space="preserve">Anforderungsbehörden- und Bedarfsträgerverordnung</w:t>
      </w:r>
    </w:p>
    <w:p>
      <w:r>
        <w:rPr>
          <w:color w:val="555555"/>
          <w:sz w:val="18"/>
        </w:rPr>
        <w:t xml:space="preserve">Stand: 10.06.2019 (konsolidierte Textfassung, kein amtliches Inkrafttretensdatum)</w:t>
      </w:r>
    </w:p>
    <w:p>
      <w:r>
        <w:t xml:space="preserve">Betrifft die Anforderung Schiffe, so ist die Anforderungsbehörde örtlich zuständig, in deren Bezirk sich der Heimathafen oder Heimatort des Schiffes befindet. Hat ein Schiff keinen Heimathafen oder Heimatort im Geltungsbereich dieser Verordnung, so ist die Anforderungsbehörde örtlich zuständig, in deren Bezirk sich das Schiff befindet. § 3 Abs. 2 Satz 2 gilt sinngemäß.</w:t>
      </w:r>
    </w:p>
    <w:p>
      <w:r>
        <w:rPr>
          <w:color w:val="555555"/>
          <w:sz w:val="17"/>
        </w:rPr>
        <w:t xml:space="preserve">Zitiervorschlag: § 4 BLGABV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https://recht.nulegal.eu/gesetze/BLGABV/4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