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als Leistungspflichtiger vorsätzlich oder fahrlässig</w:t>
      </w:r>
    </w:p>
    <w:p>
      <w:pPr>
        <w:ind w:left="420"/>
      </w:pPr>
      <w:r>
        <w:t xml:space="preserve">1. eine Leistung, die nicht lediglich durch Bereitstellungsbescheid angefordert ist, nicht, nicht rechtzeitig, nicht ordnungsgemäß oder nicht vollständig bewirkt oder einer ihm auf Grund des § 2 auferlegten Verpflichtung zur Duldung oder Unterlassung zuwiderhandelt;</w:t>
      </w:r>
    </w:p>
    <w:p>
      <w:pPr>
        <w:ind w:left="420"/>
      </w:pPr>
      <w:r>
        <w:t xml:space="preserve">2. der schriftlichen Anordnung, eine Leistung vorzubereiten (§ 16), zuwiderhandelt;</w:t>
      </w:r>
    </w:p>
    <w:p>
      <w:pPr>
        <w:ind w:left="420"/>
      </w:pPr>
      <w:r>
        <w:t xml:space="preserve">3. entgegen einer ihm nach § 36 Abs. 4 auferlegten Verpflichtung eine Veräußerung oder Verfügung nicht anzeigt.</w:t>
      </w:r>
    </w:p>
    <w:p>
      <w:r>
        <w:t xml:space="preserve">(2) Ordnungswidrig handelt ferner, wer</w:t>
      </w:r>
    </w:p>
    <w:p>
      <w:pPr>
        <w:ind w:left="420"/>
      </w:pPr>
      <w:r>
        <w:t xml:space="preserve">1. ohne Leistungspflichtiger zu sein, in Kenntnis der Leistungspflicht eines anderen einen Gegenstand, der nicht lediglich durch Bereitstellungsbescheid angefordert ist, beiseite schafft, beschädigt, zerstört, unbrauchbar macht oder verderben läßt;</w:t>
      </w:r>
    </w:p>
    <w:p>
      <w:pPr>
        <w:ind w:left="420"/>
      </w:pPr>
      <w:r>
        <w:t xml:space="preserve">2. entgegen § 15 Abs. 1 die Auskunft nicht, unrichtig, unvollständig oder nicht fristgemäß erteilt, die vorhandenen Unterlagen nicht, unvollständig oder nicht fristgemäß vorlegt oder einem Verlangen nach § 15 Abs. 2 Satz 1 oder einer Verpflichtung nach § 15 Abs. 2 Satz 2 zuwiderhandelt.</w:t>
      </w:r>
    </w:p>
    <w:p>
      <w:r>
        <w:t xml:space="preserve">(3) Die Ordnungswidrigkeit kann mit einer Geldbuße bis zu fünfundzwanzigtausend Euro geahndet werden.</w:t>
      </w:r>
    </w:p>
    <w:p>
      <w:r>
        <w:t xml:space="preserve">(4) Die Vorschrift des Absatzes 1 Nr. 1 in Verbindung mit Absatz 3 gilt in den Fällen einer Anforderung nach § 2 Abs. 1 Nr. 2 und 8 auch für den, der die tatsächliche Gewalt über die Sache ausübt.</w:t>
      </w:r>
    </w:p>
    <w:p>
      <w:r>
        <w:t xml:space="preserve">(5) Anforderungsbehörden, die Bundesbehörden sind, nehmen die Befugnisse der Verwaltungsbehörde im Sinne des § 36 Abs. 1 Nr. 1 des Gesetzes über Ordnungswidrigkeiten wahr.</w:t>
      </w:r>
    </w:p>
    <w:p>
      <w:r>
        <w:rPr>
          <w:color w:val="555555"/>
          <w:sz w:val="17"/>
        </w:rPr>
        <w:t xml:space="preserve">Zitiervorschlag: § 84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