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Verfahren für die Abgeltung der Schäden, für welche die Streitkräfte nach § 77 ersatzpflichtig sind, sowie die Fristen für die Geltendmachung der Ansprüche auf Ersatzleistung werden, soweit die Stationierungstruppen in Betracht kommen, nach Artikel 8 des Finanzvertrags vom 26. Mai 1952 bestimmt. Sind die Schäden nach dem Inkrafttreten des NATO-Truppenstatuts und des Zusatzabkommens zum NATO-Truppenstatut verursacht worden, so treten an die Stelle des Artikels 8 des Finanzvertrages Artikel VIII des NATO-Truppenstatuts, Artikel 41 des Zusatzabkommens zum NATO-Truppenstatut nebst Unterzeichnungsprotokoll sowie Artikel 6 bis 15 des Gesetzes vom 18. August 1961 zum NATO-Truppenstatut und zu den Zusatzvereinbarungen (Bundesgesetzbl. II S. 1183).</w:t>
      </w:r>
    </w:p>
    <w:p>
      <w:r>
        <w:t xml:space="preserve">(2) Stehen uniformierte Verbände oder Einheiten im Dienst eines Landes, so gelten die landesrechtlichen Vorschriften.</w:t>
      </w:r>
    </w:p>
    <w:p>
      <w:r>
        <w:rPr>
          <w:color w:val="555555"/>
          <w:sz w:val="17"/>
        </w:rPr>
        <w:t xml:space="preserve">Zitiervorschlag: § 82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