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Leistungsempfänger ist der Bedarfsträger, in den Fällen des § 1 Abs. 1 Nr. 3 der auswärtige Staat, für dessen Streitkräfte die Leistung angefordert wird.</w:t>
      </w:r>
    </w:p>
    <w:p>
      <w:r>
        <w:t xml:space="preserve">(2) Werden bauliche Anlagen oder Teile von baulichen Anlagen, Hausrat, Verkehrsmittel oder Verkehrsleistungen für die in § 1 Abs. 1 Nr. 1, 2 und 4 bezeichneten Zwecke auf Grund des § 2 Abs. 1 Nr. 1, 5 und 9 angefordert, so kann die Anforderungsbehörde denjenigen als Leistungsempfänger bestimmen, dem die genannten Anforderungsgegenstände zum Gebrauch überlassen oder für den die Verkehrsleistungen erbracht werden sollen. Satz 1 gilt entsprechend für die Anforderung von Verkehrsmitteln auf Grund des § 2 Abs. 1 Nr. 2 des Gesetzes.</w:t>
      </w:r>
    </w:p>
    <w:p>
      <w:r>
        <w:rPr>
          <w:color w:val="555555"/>
          <w:sz w:val="17"/>
        </w:rPr>
        <w:t xml:space="preserve">Zitiervorschlag: § 8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