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Leistungen nach den §§ 71, 72 werden durch Behörden angefordert, die gemäß § 5 Abs. 1 durch Rechtsverordnung bestimmt werden. Für die Anforderung der in § 73 aufgeführten Manöverleistungen sind die in § 5 Abs. 2 bezeichneten Behörden zuständig. Die Vorschriften des § 6 finden sinngemäß Anwendung.</w:t>
      </w:r>
    </w:p>
    <w:p>
      <w:r>
        <w:rPr>
          <w:color w:val="555555"/>
          <w:sz w:val="17"/>
        </w:rPr>
        <w:t xml:space="preserve">Zitiervorschlag: § 79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https://recht.nulegal.eu/gesetze/BLG/79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