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Sachen und Leistungen, für die ein Bereitstellungsbescheid (§ 36 Abs. 3) ergangen ist, können nach § 2 Abs. 1 Nr. 1, 8 und 9 für Manöver oder andere Übungen in Anspruch genommen werden, wenn der Zweck der Übung es erfordert. Dabei sind die militärischen und zivilen Belange gerecht abzuwägen.</w:t>
      </w:r>
    </w:p>
    <w:p>
      <w:r>
        <w:t xml:space="preserve">(2) § 71 Abs. 4 gilt entsprechend; § 3 Abs. 1 Satz 1 findet keine Anwendung.</w:t>
      </w:r>
    </w:p>
    <w:p>
      <w:r>
        <w:rPr>
          <w:color w:val="555555"/>
          <w:sz w:val="17"/>
        </w:rPr>
        <w:t xml:space="preserve">Zitiervorschlag: § 73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