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Obliegt die Ausführung dieses Gesetzes Anforderungsbehörden der Länder, so handeln sie im Auftrag des Bundes, soweit der Vollzug des Gesetzes der Verteidigung einschließlich des Schutzes der Zivilbevölkerung dient. Im übrigen kann die Bundesregierung Einzelweisungen erteilen, wenn und soweit die Anforderung der Leistung oder die Festsetzung der Entschädigung oder der Ersatzleistung eine einheitliche oder planmäßige Handhabung des Gesetzesvollzugs erfordert.</w:t>
      </w:r>
    </w:p>
    <w:p>
      <w:r>
        <w:t xml:space="preserve">(2) Anforderungsbehörden, die keine staatlichen Behörden sind, handeln kraft staatlichen Auftrags unter Haftung des Auftraggebers. Die Verwaltungskosten der Gemeinden und der Gemeindeverbände werden vom Land erstattet.</w:t>
      </w:r>
    </w:p>
    <w:p>
      <w:r>
        <w:rPr>
          <w:color w:val="555555"/>
          <w:sz w:val="17"/>
        </w:rPr>
        <w:t xml:space="preserve">Zitiervorschlag: § 6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