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Wegen der Festsetzung der Entschädigung oder der Ersatzleistung kann ein Beteiligter binnen einer Frist von zwei Monaten nach Zustellung der Beschwerdeentscheidung Klage erheben. Ist eine Beschwerde gegen den Festsetzungsbescheid nicht zulässig, so beginnt der Lauf der Frist mit der Zustellung des Festsetzungsbescheids. Die Klage kann auch erhoben werden, wenn die Anforderungsbehörde über einen Festsetzungsantrag oder die Aufsichtsbehörde über eine Beschwerde innerhalb einer Frist von drei Monaten eine Entscheidung nicht getroffen hat.</w:t>
      </w:r>
    </w:p>
    <w:p>
      <w:r>
        <w:t xml:space="preserve">(2) Für die Klage ist das Landgericht ohne Rücksicht auf den Wert des Streitgegenstands ausschließlich zuständig. Örtlich ist das Landgericht ausschließlich zuständig, in dessen Bezirk die Anforderungsbehörde ihren Sitz hat. Hat die Anforderungsbehörde ihren Sitz nicht im Inland, so ist örtlich das Landgericht ausschließlich zuständig, in dessen Bezirk sich der Sitz der Bundesregierung befindet.</w:t>
      </w:r>
    </w:p>
    <w:p>
      <w:r>
        <w:t xml:space="preserve">(3) Die Klage gegen den zur Entschädigung oder Ersatzleistung Verpflichteten ist auf Zahlung des verlangten Betrags bzw. Mehrbetrags zu richten. Die Klage gegen den zur Entschädigung oder Ersatzleistung Berechtigten ist darauf zu richten, daß die Entschädigung oder die Ersatzleistung unter Aufhebung oder Abänderung des Festsetzungsbescheids anderweit festgesetzt wird.</w:t>
      </w:r>
    </w:p>
    <w:p>
      <w:r>
        <w:t xml:space="preserve">(4) Das Gericht kann im Fall des Absatzes 3 Satz 2 auf Antrag des Berechtigten den Festsetzungsbescheid für vorläufig vollstreckbar erklären. Über den Antrag kann durch Beschluß vorab entschieden werden. Der Beschluß ist nicht anfechtbar. Die §§ 711 bis 720 der Zivilprozeßordnung sind entsprechend anzuwenden.</w:t>
      </w:r>
    </w:p>
    <w:p>
      <w:r>
        <w:rPr>
          <w:color w:val="555555"/>
          <w:sz w:val="17"/>
        </w:rPr>
        <w:t xml:space="preserve">Zitiervorschlag: § 58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