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Festsetzungsbescheid von der unteren Verwaltungsbehörde erlassen worden, so können die am Festsetzungsverfahren Beteiligten innerhalb zweier Wochen seit Zustellung des Festsetzungsbescheids Beschwerde einlegen. Über die Beschwerde entscheidet die Aufsichtsbehörde.</w:t>
      </w:r>
    </w:p>
    <w:p>
      <w:r>
        <w:t xml:space="preserve">(2) Die Entscheidung über die Beschwerde ist den am Festsetzungsverfahren Beteiligten zuzustellen.</w:t>
      </w:r>
    </w:p>
    <w:p>
      <w:r>
        <w:rPr>
          <w:color w:val="555555"/>
          <w:sz w:val="17"/>
        </w:rPr>
        <w:t xml:space="preserve">Zitiervorschlag: § 57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