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Bundesminister der Finanzen kann bei den Anforderungsbehörden Vertreter des Finanzinteresses bestellen.</w:t>
      </w:r>
    </w:p>
    <w:p>
      <w:r>
        <w:t xml:space="preserve">(2) Der Vertreter des Finanzinteresses ist Beteiligter am Festsetzungsverfahren im Sinne des § 51, sofern er nicht auf die Beteiligung verzichtet.</w:t>
      </w:r>
    </w:p>
    <w:p>
      <w:r>
        <w:rPr>
          <w:color w:val="555555"/>
          <w:sz w:val="17"/>
        </w:rPr>
        <w:t xml:space="preserve">Zitiervorschlag: § 56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