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Hinterlegung in den Fällen des § 51 Abs. 5 und des § 53 wird der Zahlungspflichtige von seiner Zahlungspflicht befreit.</w:t>
      </w:r>
    </w:p>
    <w:p>
      <w:r>
        <w:t xml:space="preserve">(2) Die Pflicht zur Hinterlegung nach § 51 Abs. 5 und § 53 entfällt, soweit eine Einigung der Beteiligten über die Auszahlung nachgewiesen ist.</w:t>
      </w:r>
    </w:p>
    <w:p>
      <w:r>
        <w:t xml:space="preserve">(3) Andere Vorschriften, nach denen die Hinterlegung geboten oder statthaft ist, bleiben unberührt.</w:t>
      </w:r>
    </w:p>
    <w:p>
      <w:r>
        <w:rPr>
          <w:color w:val="555555"/>
          <w:sz w:val="17"/>
        </w:rPr>
        <w:t xml:space="preserve">Zitiervorschlag: § 54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