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Vor der Festsetzung der Entschädigung oder der Ersatzleistung hat die Anforderungsbehörde durch einen Vorschlag auf eine gütliche Einigung der Beteiligten hinzuwirken. Beteiligte sind der Zahlungspflichtige und die der Anforderungsbehörde bekannten Berechtigten.</w:t>
      </w:r>
    </w:p>
    <w:p>
      <w:r>
        <w:t xml:space="preserve">(2) Kommt eine Einigung zustande, so hat die Anforderungsbehörde diese zu beurkunden und den Beteiligten eine beglaubigte Abschrift der Urkunde zuzustellen.</w:t>
      </w:r>
    </w:p>
    <w:p>
      <w:r>
        <w:t xml:space="preserve">(3) Kommt eine Einigung nicht zustande, so setzt die Anforderungsbehörde die Höhe der Entschädigung oder der Ersatzleistung fest, nachdem sie den Beteiligten Gelegenheit zur Stellungnahme gegeben hat.</w:t>
      </w:r>
    </w:p>
    <w:p>
      <w:r>
        <w:t xml:space="preserve">(4) Die Festsetzung erfolgt durch schriftlichen Bescheid, in dem die Anforderungsbehörde, der Zahlungspflichtige, der Zahlungsempfänger, die Gründe der Entscheidung und die zulässigen Rechtsmittel anzugeben sind. Er ist den Beteiligten zuzustellen.</w:t>
      </w:r>
    </w:p>
    <w:p>
      <w:r>
        <w:t xml:space="preserve">(5) Besteht bei der Anforderungsbehörde Ungewißheit über die Person des Zahlungsempfängers, so hat sie anzuordnen, daß der als Entschädigung oder Ersatzleistung zu zahlende Geldbetrag unter Verzicht auf das Recht der Rücknahme zu hinterlegen ist.</w:t>
      </w:r>
    </w:p>
    <w:p>
      <w:r>
        <w:rPr>
          <w:color w:val="555555"/>
          <w:sz w:val="17"/>
        </w:rPr>
        <w:t xml:space="preserve">Zitiervorschlag: § 51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