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 können nur Behörden anfordern, die durch Rechtsverordnung der Bundesregierung mit Zustimmung des Bundesrates bestimmt werden (Anforderungsbehörden). Zu Anforderungsbehörden können auch Bundesbehörden bestimmt werden.</w:t>
      </w:r>
    </w:p>
    <w:p>
      <w:r>
        <w:t xml:space="preserve">(2) Im Verteidigungsfall oder nach einer Feststellung der Bundesregierung gemäß § 1 Abs. 2 sind die Behörden der Bundeswehrverwaltung als Anforderungsbehörden zuständig für die Anforderung der nachstehenden Gegenstände und Leistungen, soweit diese für die Herstellung und Aufrechterhaltung der Einsatzbereitschaft der Streitkräfte benötigt werden:</w:t>
      </w:r>
    </w:p>
    <w:p>
      <w:pPr>
        <w:ind w:left="420"/>
      </w:pPr>
      <w:r>
        <w:t xml:space="preserve">1. Waffen und Munition, ausgenommen Jagd- und Zierwaffen;</w:t>
      </w:r>
    </w:p>
    <w:p>
      <w:pPr>
        <w:ind w:left="420"/>
      </w:pPr>
      <w:r>
        <w:t xml:space="preserve">2. Zelte;</w:t>
      </w:r>
    </w:p>
    <w:p>
      <w:pPr>
        <w:ind w:left="420"/>
      </w:pPr>
      <w:r>
        <w:t xml:space="preserve">3. sonstige Ausrüstungsgegenstände und Unterkunftsgeräte für Truppen;</w:t>
      </w:r>
    </w:p>
    <w:p>
      <w:pPr>
        <w:ind w:left="420"/>
      </w:pPr>
      <w:r>
        <w:t xml:space="preserve">4. Kraftfahrzeuge nebst Zubehör, sonstige Verkehrsmittel mit Ausnahme der See- und Binnenschiffe, der Seefischereifahrzeuge, Luftfahrzeuge und Straßenbahnen, sowie Umschlagsanlagen und -einrichtungen für Kraftfahrzeuge und die vorgenannten sonstigen Verkehrsmittel;</w:t>
      </w:r>
    </w:p>
    <w:p>
      <w:pPr>
        <w:ind w:left="420"/>
      </w:pPr>
      <w:r>
        <w:t xml:space="preserve">5. optisches Gerät und Fernmeldegeräte mit Ausnahme der in § 2 Abs. 1 Nr. 3 und § 2 Abs. 2 bezeichneten Anlagen und Einrichtungen;</w:t>
      </w:r>
    </w:p>
    <w:p>
      <w:pPr>
        <w:ind w:left="420"/>
      </w:pPr>
      <w:r>
        <w:t xml:space="preserve">6. Stromerzeugungsanlagen (Notstrom-Aggregate), soweit sie nicht wesentlicher Bestandteil eines Grundstücks sind;</w:t>
      </w:r>
    </w:p>
    <w:p>
      <w:pPr>
        <w:ind w:left="420"/>
      </w:pPr>
      <w:r>
        <w:t xml:space="preserve">7. Werkzeuge, Gerätschaften und Maschinen, die zur Instandsetzung und Instandhaltung der unter Nummer 1 bis 6 aufgeführten Gegenstände erforderlich sind, einschließlich des Zubehörs und der Ersatzteile für die vorgenannten Gegenstände;</w:t>
      </w:r>
    </w:p>
    <w:p>
      <w:pPr>
        <w:ind w:left="420"/>
      </w:pPr>
      <w:r>
        <w:t xml:space="preserve">8. Betriebs- und Brennstoffe;</w:t>
      </w:r>
    </w:p>
    <w:p>
      <w:pPr>
        <w:ind w:left="420"/>
      </w:pPr>
      <w:r>
        <w:t xml:space="preserve">9. Baustoffe, Bauhilfsstoffe, Werkzeuge, Gerätschaften und Maschinen zur Herstellung oder Wiederherstellung von Gebäuden, Verkehrswegen und sonstigen Anlagen, einschließlich der hierfür benötigten Ersatz- und Zubehörteile;</w:t>
      </w:r>
    </w:p>
    <w:p>
      <w:pPr>
        <w:ind w:left="420"/>
      </w:pPr>
      <w:r>
        <w:t xml:space="preserve">10. Leistungen gemäß § 2 Abs. 1 Nr. 4 bis 10, Verkehrsleistungen jedoch nur, soweit diese mit Kraftfahrzeugen und den unter Nummer 4 genannten sonstigen Verkehrsmitteln ausgeführt werden.</w:t>
      </w:r>
    </w:p>
    <w:p>
      <w:r>
        <w:t xml:space="preserve">(3) Die Anforderungen nach Absatz 2 erfolgen im Benehmen mit den Behörden, die nach der gemäß Absatz 1 zu erlassenden Rechtsverordnung für die Anforderungen solcher Gegenstände und Leistungen sonst zuständig sind.</w:t>
      </w:r>
    </w:p>
    <w:p>
      <w:r>
        <w:t xml:space="preserve">(4) Bei Anforderungen nach Absatz 2 haben die Behörden der Bundeswehrverwaltung die Bedürfnisse für andere verteidigungswichtige Aufgaben und für den Schutz der Zivilbevölkerung zu berücksichtigen.</w:t>
      </w:r>
    </w:p>
    <w:p>
      <w:r>
        <w:rPr>
          <w:color w:val="555555"/>
          <w:sz w:val="17"/>
        </w:rPr>
        <w:t xml:space="preserve">Zitiervorschlag: § 5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