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Verfahren vor den Verwaltungsbehörden ist kostenfrei. Dem Leistungspflichtigen können jedoch Auslagen insoweit auferlegt werden, als er sie durch grobes Verschulden verursacht hat.</w:t>
      </w:r>
    </w:p>
    <w:p>
      <w:r>
        <w:t xml:space="preserve">(2) Auslagen, die dem Leistungspflichtigen durch das Verfahren entstanden sind, werden ihm erstattet, wenn sie zur zweckentsprechenden Wahrnehmung seiner Rechte notwendig waren und sich sein Antrag als begründet erweist.</w:t>
      </w:r>
    </w:p>
    <w:p>
      <w:r>
        <w:rPr>
          <w:color w:val="555555"/>
          <w:sz w:val="17"/>
        </w:rPr>
        <w:t xml:space="preserve">Zitiervorschlag: § 48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