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Erzwingung von Handlungen, Duldungen oder Unterlassungen, die nach diesem Gesetz angefordert werden, sind die Vorschriften des Verwaltungs-Vollstreckungsgesetzes vom 27. April 1953 (Bundesgesetzbl. I S. 157) entsprechend anzuwenden. Gegen Leistungsempfänger, die Bedarfsträger sind, darf der Verwaltungszwang nicht angewandt werden.</w:t>
      </w:r>
    </w:p>
    <w:p>
      <w:r>
        <w:t xml:space="preserve">(2) Vollzugsbehörde ist die Anforderungsbehörde oder die Behörde, die von der Landesregierung bestimmt wird. Die Vollzugsbehörde kann die Verwaltungshilfe anderer Behörden in Anspruch nehmen.</w:t>
      </w:r>
    </w:p>
    <w:p>
      <w:r>
        <w:rPr>
          <w:color w:val="555555"/>
          <w:sz w:val="17"/>
        </w:rPr>
        <w:t xml:space="preserve">Zitiervorschlag: § 44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