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Leistungsbescheid bedarf der Schriftform. In ihm müssen der Grund der Anforderung, die Anforderungsbehörde, der Gegenstand und der Zeitpunkt der Leistung, der Bedarfsträger, der Leistungspflichtige und der Leistungsempfänger bezeichnet werden.</w:t>
      </w:r>
    </w:p>
    <w:p>
      <w:r>
        <w:t xml:space="preserve">(2) Der Leistungsbescheid kann auch bedingt, befristet oder auf Widerruf erlassen werden.</w:t>
      </w:r>
    </w:p>
    <w:p>
      <w:r>
        <w:t xml:space="preserve">(3) Wenn sich der Zeitpunkt der Leistung bei der Anforderung für die in § 1 Abs. 1 Nr. 1 bis 3 genannten Zwecke noch nicht bestimmen läßt, kann der Leistungsbescheid auch in der Form ergehen, daß die Bestimmung des Zeitpunkts der Leistung einer späteren Benachrichtigung vorbehalten bleibt (Bereitstellungsbescheid). Für die in § 5 Abs. 2 bezeichneten Gegenstände und Leistungen können die Behörden der Bundeswehrverwaltung Bereitstellungsbescheide vor dem Eintritt des Verteidigungsfalls oder vor einer Feststellung der Bundesregierung gemäß § 1 Abs. 2 erlassen. Diese Bereitstellungsbescheide ergehen im Einvernehmen mit den gemäß § 5 Abs. 1 sonst zuständigen Behörden.</w:t>
      </w:r>
    </w:p>
    <w:p>
      <w:r>
        <w:t xml:space="preserve">(4) Durch den Bereitstellungsbescheid wird die Veräußerung oder eine sonstige Verfügung über den betroffenen Gegenstand nicht gehindert; dem Leistungspflichtigen kann jedoch auferlegt werden, die Veräußerung oder Verfügung der Anforderungsbehörde anzuzeigen.</w:t>
      </w:r>
    </w:p>
    <w:p>
      <w:r>
        <w:t xml:space="preserve">(5) Die Anforderungsbehörde ist verpflichtet, in dem Leistungsbescheid die gesetzlichen Grundlagen der Anforderung zu bezeichnen. Sie muß eine Rechtsmittelbelehrung erteilen.</w:t>
      </w:r>
    </w:p>
    <w:p>
      <w:r>
        <w:rPr>
          <w:color w:val="555555"/>
          <w:sz w:val="17"/>
        </w:rPr>
        <w:t xml:space="preserve">Zitiervorschlag: § 36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