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die Anforderungsbehörde einen anderen als einen Bedarfsträger zum Leistungsempfänger bestimmt (§ 8 Abs. 2) und erfüllt dieser seine Verbindlichkeiten nicht binnen drei Wochen seit ihrer Fälligkeit, so haftet für die Erfüllung dieser Verbindlichkeiten der Bedarfsträger; im Fall des § 27 haftet er jedoch nur nach Maßgabe des § 26.</w:t>
      </w:r>
    </w:p>
    <w:p>
      <w:r>
        <w:t xml:space="preserve">(2) Soweit der Leistungsempfänger nach § 27 zum Ersatz nicht verpflichtet ist, trifft die in § 26 vorgesehene Ersatzpflicht den Bedarfsträger.</w:t>
      </w:r>
    </w:p>
    <w:p>
      <w:r>
        <w:t xml:space="preserve">(3) Soweit der Bedarfsträger den Entschädigungs- oder Ersatzberechtigten nach Absatz 1 befriedigt, gehen dessen Ansprüche gegen den Leistungsempfänger auf den Bedarfsträger über. Der Übergang kann nicht zum Nachteil des Berechtigten geltend gemacht werden.</w:t>
      </w:r>
    </w:p>
    <w:p>
      <w:r>
        <w:t xml:space="preserve">(4) Im Fall des Absatzes 2 gilt § 30 sinngemäß.</w:t>
      </w:r>
    </w:p>
    <w:p>
      <w:r>
        <w:rPr>
          <w:color w:val="555555"/>
          <w:sz w:val="17"/>
        </w:rPr>
        <w:t xml:space="preserve">Zitiervorschlag: § 33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