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Entschädigung nach den §§ 20 bis 22 und 24 sowie eine Ersatzleistung nach den §§ 26 und 27 wird nicht gezahlt, soweit einem Entschädigungs- oder Ersatzberechtigten infolge der Anforderung Vermögensvorteile erwachsen.</w:t>
      </w:r>
    </w:p>
    <w:p>
      <w:r>
        <w:t xml:space="preserve">(2) Hat in den Fällen der §§ 21 und 26 bis 28 bei der Entstehung des Schadens ein Verschulden des Entschädigungs- oder Ersatzberechtigten mitgewirkt, so gilt § 254 des Bürgerlichen Gesetzbuchs sinngemäß.</w:t>
      </w:r>
    </w:p>
    <w:p>
      <w:r>
        <w:t xml:space="preserve">(3) Eine Pflicht zur Ersatzleistung nach den §§ 26 bis 28 besteht nicht, wenn der Schaden auch ohne die Anforderung eingetreten wäre.</w:t>
      </w:r>
    </w:p>
    <w:p>
      <w:r>
        <w:rPr>
          <w:color w:val="555555"/>
          <w:sz w:val="17"/>
        </w:rPr>
        <w:t xml:space="preserve">Zitiervorschlag: § 32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