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Leistungen dürfen nur angefordert werden, wenn der Bedarf auf andere Weise nicht oder nicht rechtzeitig oder nur mit unverhältnismäßigen Mitteln gedeckt werden kann. Die Anforderung ist auf das unerläßliche Maß zu beschränken.</w:t>
      </w:r>
    </w:p>
    <w:p>
      <w:r>
        <w:t xml:space="preserve">(2) Leistungen dürfen nicht angefordert werden, wenn sie nach anderen gesetzlichen Ermächtigungen angeordnet werden können.</w:t>
      </w:r>
    </w:p>
    <w:p>
      <w:r>
        <w:t xml:space="preserve">(3) Bei allen Anforderungen sind die Interessen der Allgemeinheit und der Beteiligten gerecht abzuwägen. Dabei soll die Leistungsfähigkeit der deutschen Wirtschaft angemessen berücksichtigt werden. Die Bundesregierung regelt durch Rechtsverordnung mit Zustimmung des Bundesrates, wie sachverständige Stellen der gewerblichen Wirtschaft an dem Verfahren der Erteilung von Leistungsbescheiden zu beteiligen sind, wenn wirtschaftliche Unternehmen leistungspflichtig werden. Kulturgut darf nicht gefährdet werden.</w:t>
      </w:r>
    </w:p>
    <w:p>
      <w:r>
        <w:t xml:space="preserve">(4) Wohnräume, die für den unentbehrlichen Wohnbedarf des Besitzers und der zu seinem Hausstand gehörenden Personen erforderlich sind, dürfen nur angefordert werden, wenn ausreichende anderweitige Unterbringung gesichert ist.</w:t>
      </w:r>
    </w:p>
    <w:p>
      <w:r>
        <w:t xml:space="preserve">(5) Gewinnungs-, Fertigungs- und Handelsbetriebe, ferner Reparatur- und Reinigungsbetriebe (Werterhaltungsbetriebe) dürfen nicht angefordert werden. Sachen, die zur Fortführung eines solchen Betriebs unentbehrlich sind, dürfen nur dann angefordert werden, wenn dies für die Zwecke der Verteidigung unumgänglich notwendig ist.</w:t>
      </w:r>
    </w:p>
    <w:p>
      <w:r>
        <w:t xml:space="preserve">(6) Alle Anforderungen sind so zu gestalten und durchzuführen, daß keinem Betroffenen vermeidbare Nachteile entstehen. Der Lebensbedarf des Betroffenen muß gewährleistet bleiben.</w:t>
      </w:r>
    </w:p>
    <w:p>
      <w:r>
        <w:rPr>
          <w:color w:val="555555"/>
          <w:sz w:val="17"/>
        </w:rPr>
        <w:t xml:space="preserve">Zitiervorschlag: § 3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