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Körper- und Gesundheitsschäden, Schäden durch Verlust, Beschädigung oder Verschlechterung anderer als der angeforderten Sachen sowie Haftpflichtschäden, die der Leistungspflichtige, seine Erfüllungsgehilfen oder der nach § 13 Abs. 1 Satz 2 Herausgabepflichtige infolge der Erfüllung einer auf der Anforderung beruhenden Leistung erleiden, hat der Leistungsempfänger, in den Fällen des § 8 Abs. 2 der Bedarfsträger den Geschädigten angemessen zu ersetzen, soweit diese nicht auf andere Weise Ersatz zu erlangen vermögen.</w:t>
      </w:r>
    </w:p>
    <w:p>
      <w:r>
        <w:t xml:space="preserve">(2) Für Körper- und Gesundheitsschäden gelten die §§ 843 bis 846 des Bürgerlichen Gesetzbuchs sinngemäß. Bei der Bemessung des Ersatzes für Sachschäden sind die Vorschriften des § 26 Abs. 2, 3 und 5 sinngemäß anzuwenden.</w:t>
      </w:r>
    </w:p>
    <w:p>
      <w:r>
        <w:t xml:space="preserve">(3) Trifft die Ersatzpflicht nach Absatz 1 mit einer Ersatzpflicht auf Grund fahrlässiger Amtspflichtverletzung zusammen, so wird die Ersatzpflicht nach § 839 Abs. 1 des Bürgerlichen Gesetzbuchs nicht dadurch ausgeschlossen, daß die Voraussetzungen des Absatzes 1 vorliegen.</w:t>
      </w:r>
    </w:p>
    <w:p>
      <w:r>
        <w:rPr>
          <w:color w:val="555555"/>
          <w:sz w:val="17"/>
        </w:rPr>
        <w:t xml:space="preserve">Zitiervorschlag: § 28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