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die Anforderungsbehörde einen anderen als einen Bedarfsträger zum Leistungsempfänger bestimmt (§ 8 Abs. 2), so hat der Leistungsempfänger Ersatz nach § 26 Abs. 1 nur zu leisten, wenn sich eine Ersatzpflicht bei sinngemäßer Anwendung der Vorschriften des bürgerlichen Rechts ergibt.</w:t>
      </w:r>
    </w:p>
    <w:p>
      <w:r>
        <w:rPr>
          <w:color w:val="555555"/>
          <w:sz w:val="17"/>
        </w:rPr>
        <w:t xml:space="preserve">Zitiervorschlag: § 27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