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einer Anforderung nach § 2 Abs. 1 Nr. 9 hat der Leistungsempfänger eine Entschädigung zu zahlen, die sich nach den im Wirtschaftsverkehr für vergleichbare Leistungen üblichen Entgelten und Tarifen bemißt.</w:t>
      </w:r>
    </w:p>
    <w:p>
      <w:r>
        <w:t xml:space="preserve">(2) Im Fall einer Anforderung nach § 2 Abs. 1 Nr. 10 hat der Leistungsempfänger für Leistungen, die auf Grund des Vertrags erbracht werden, eine nach Absatz 1 zu bemessende Entschädigung zu zahlen, sofern nicht ein Entgelt vereinbart ist.</w:t>
      </w:r>
    </w:p>
    <w:p>
      <w:r>
        <w:rPr>
          <w:color w:val="555555"/>
          <w:sz w:val="17"/>
        </w:rPr>
        <w:t xml:space="preserve">Zitiervorschlag: § 22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