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Leistungspflichtige ist zu Handlungen, Duldungen und Unterlassungen verpflichtet, die zur ordnungsmäßigen Vorbereitung der Leistung notwendig sind.</w:t>
      </w:r>
    </w:p>
    <w:p>
      <w:r>
        <w:t xml:space="preserve">(2) Die Anforderung der Leistungsvorbereitungen wird unwirksam, wenn nicht binnen drei Monaten eine Anforderung nach § 2 ausgesprochen wird.</w:t>
      </w:r>
    </w:p>
    <w:p>
      <w:r>
        <w:t xml:space="preserve">(3) Anforderungsbehörde für die Leistungsvorbereitungen ist die für die Anforderung der Leistung zuständige Behörde.</w:t>
      </w:r>
    </w:p>
    <w:p>
      <w:r>
        <w:rPr>
          <w:color w:val="555555"/>
          <w:sz w:val="17"/>
        </w:rPr>
        <w:t xml:space="preserve">Zitiervorschlag: § 16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