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Der Eigentümer kann eine Anforderung nach § 2 Abs. 1 Nr. 2 verlangen, wenn eine Anforderung nach § 2 Abs. 1 Nr. 1 erfolgt ist und ihm die Leistung zum Gebrauch, zum Mitgebrauch oder zu anderer Nutzung nicht zugemutet werden kann. Das gleiche gilt, wenn infolge von Maßnahmen nach § 2 Abs. 1 Nr. 6 bis 8 die Sache nicht mehr in ihrer bisherigen oder in einer anderen dem Leistungspflichtigen zumutbaren Weise verwendet werden kann. Zuständig bleibt die Behörde, die die ursprüngliche Anforderung ausgesprochen hat.</w:t>
      </w:r>
    </w:p>
    <w:p>
      <w:r>
        <w:t xml:space="preserve">(2) Der Eigentümer eines Gebäudes oder Grundstücks kann die Entziehung des Eigentums nach den hierfür geltenden besonderen gesetzlichen Vorschriften verlangen, wenn ihm die Überlassung zum Gebrauch, zum Mitgebrauch oder zur anderen Nutzung über die Dauer der ersten Anforderung hinaus nicht zugemutet werden kann. Absatz 1 Satz 2 gilt entsprechend.</w:t>
      </w:r>
    </w:p>
    <w:p>
      <w:r>
        <w:t xml:space="preserve">(3) Wer zur Nutzung einer Sache berechtigt ist, kann der Anforderung eines Teils dieser Sache zum Gebrauch, zum Mitgebrauch oder zur anderen Nutzung widersprechen und die Anforderung der ganzen Sache verlangen, wenn sein wirtschaftliches Interesse an der Ausübung seines Rechtes durch die Anforderung des Teils entfallen oder unverhältnismäßig vermindert werden würde.</w:t>
      </w:r>
    </w:p>
    <w:p>
      <w:r>
        <w:t xml:space="preserve">(4) Der Eigentümer kann der Anforderung eines Teils der Sache zu Eigentum widersprechen und die Anforderung der ganzen Sache zu Eigentum verlangen, wenn der andere Teil für ihn keinen oder nur einen unverhältnismäßig geringen Wert hätte.</w:t>
      </w:r>
    </w:p>
    <w:p>
      <w:r>
        <w:rPr>
          <w:color w:val="555555"/>
          <w:sz w:val="17"/>
        </w:rPr>
        <w:t xml:space="preserve">Zitiervorschlag: § 10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