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BLES — Übergangsregelungen</w:t>
      </w:r>
    </w:p>
    <w:p>
      <w:r>
        <w:rPr>
          <w:color w:val="555555"/>
          <w:sz w:val="18"/>
        </w:rPr>
        <w:t xml:space="preserve">Satzung der Bundesanstalt für Landwirtschaft und Ernährung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Dauer der Übergangszeit nach § 15 Abs. 1 des Gesetzes nehmen der Präsident, der Vizepräsident sowie die ständigen Vertreter die Funktionen der Abteilungsleiter wahr. Ausnahmen bestimmt das Bundesministerium durch Erlaß.</w:t>
      </w:r>
    </w:p>
    <w:p>
      <w:r>
        <w:rPr>
          <w:color w:val="555555"/>
          <w:sz w:val="17"/>
        </w:rPr>
        <w:t xml:space="preserve">Zitiervorschlag: § 15 BLES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https://recht.nulegal.eu/gesetze/BLES/15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