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BLEG — Verwaltungsrat</w:t>
      </w:r>
    </w:p>
    <w:p>
      <w:r>
        <w:rPr>
          <w:color w:val="555555"/>
          <w:sz w:val="18"/>
        </w:rPr>
        <w:t xml:space="preserve">Gesetz über die Errichtung einer Bundesanstalt für Landwirtschaft und Ernährung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Verwaltungsrat besteht aus bis zu 28 Mitgliedern, und zwar aus höchstens</w:t>
      </w:r>
    </w:p>
    <w:p>
      <w:pPr>
        <w:ind w:left="420"/>
      </w:pPr>
      <w:r>
        <w:t xml:space="preserve">1. sechs Vertretern der Landwirtschaft einschließlich des Garten- und Weinbaus, der Forstwirtschaft sowie der Fischwirtschaft,</w:t>
      </w:r>
    </w:p>
    <w:p>
      <w:pPr>
        <w:ind w:left="420"/>
      </w:pPr>
      <w:r>
        <w:t xml:space="preserve">2. drei Vertretern der Verbraucher,</w:t>
      </w:r>
    </w:p>
    <w:p>
      <w:pPr>
        <w:ind w:left="420"/>
      </w:pPr>
      <w:r>
        <w:t xml:space="preserve">3. drei Vertretern des Groß- und Außenhandels,</w:t>
      </w:r>
    </w:p>
    <w:p>
      <w:pPr>
        <w:ind w:left="420"/>
      </w:pPr>
      <w:r>
        <w:t xml:space="preserve">4. zwei Vertretern des Einzelhandels,</w:t>
      </w:r>
    </w:p>
    <w:p>
      <w:pPr>
        <w:ind w:left="420"/>
      </w:pPr>
      <w:r>
        <w:t xml:space="preserve">5. zwei Vertretern des Ernährungshandwerks,</w:t>
      </w:r>
    </w:p>
    <w:p>
      <w:pPr>
        <w:ind w:left="420"/>
      </w:pPr>
      <w:r>
        <w:t xml:space="preserve">6. zwei Vertretern der Ernährungsindustrie,</w:t>
      </w:r>
    </w:p>
    <w:p>
      <w:pPr>
        <w:ind w:left="420"/>
      </w:pPr>
      <w:r>
        <w:t xml:space="preserve">7. zwei Vertretern der landwirtschaftlichen Genossenschaften,</w:t>
      </w:r>
    </w:p>
    <w:p>
      <w:pPr>
        <w:ind w:left="420"/>
      </w:pPr>
      <w:r>
        <w:t xml:space="preserve">8. einem Vertreter des Landwarenhandels,</w:t>
      </w:r>
    </w:p>
    <w:p>
      <w:pPr>
        <w:ind w:left="420"/>
      </w:pPr>
      <w:r>
        <w:t xml:space="preserve">9. einem Vertreter des Bundesministeriums,</w:t>
      </w:r>
    </w:p>
    <w:p>
      <w:pPr>
        <w:ind w:left="420"/>
      </w:pPr>
      <w:r>
        <w:t xml:space="preserve">10. einem Vertreter des Bundesministeriums für Wirtschaft und Energie,</w:t>
      </w:r>
    </w:p>
    <w:p>
      <w:pPr>
        <w:ind w:left="420"/>
      </w:pPr>
      <w:r>
        <w:t xml:space="preserve">11. einem Vertreter des Bundesministeriums der Finanzen,</w:t>
      </w:r>
    </w:p>
    <w:p>
      <w:pPr>
        <w:ind w:left="420"/>
      </w:pPr>
      <w:r>
        <w:t xml:space="preserve">12. vier Vertretern der Obersten Landesbehörden für Ernährung, Landwirtschaft und Forsten.</w:t>
      </w:r>
    </w:p>
    <w:p>
      <w:r>
        <w:t xml:space="preserve">Die Mitglieder des Verwaltungsrats müssen die Voraussetzungen für die Wählbarkeit zum Deutschen Bundestag erfüllen.</w:t>
      </w:r>
    </w:p>
    <w:p>
      <w:r>
        <w:t xml:space="preserve">(2) Die Vertreter der Gruppen nach Absatz 1 Satz 1 Nr. 1 bis 8 (Wirtschaftsgruppen) werden vom Bundesministerium auf Vorschlag der jeweiligen Spitzenverbände bestellt und abberufen. Ihre Bestellung erfolgt auf die Dauer von vier Jahren; scheidet ein Vertreter vorzeitig aus, so wird sein Nachfolger für den Rest der Amtszeit bestellt.</w:t>
      </w:r>
    </w:p>
    <w:p>
      <w:r>
        <w:t xml:space="preserve">(3) Die Vertreter der Bundesministerien werden von den zuständigen Bundesministerien, die Vertreter der Obersten Landesbehörden vom Bundesrat bestellt und abberufen.</w:t>
      </w:r>
    </w:p>
    <w:p>
      <w:r>
        <w:t xml:space="preserve">(4) Der Vertreter des Bundesministeriums führt den Vorsitz im Verwaltungsrat.</w:t>
      </w:r>
    </w:p>
    <w:p>
      <w:r>
        <w:rPr>
          <w:color w:val="555555"/>
          <w:sz w:val="17"/>
        </w:rPr>
        <w:t xml:space="preserve">Zitiervorschlag: § 5 BLEG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https://recht.nulegal.eu/gesetze/BLEG/5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