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BLEG — Organe</w:t>
      </w:r>
    </w:p>
    <w:p>
      <w:r>
        <w:rPr>
          <w:color w:val="555555"/>
          <w:sz w:val="18"/>
        </w:rPr>
        <w:t xml:space="preserve">Gesetz über die Errichtung einer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Organe der Bundesanstalt sind der Präsident und der Verwaltungsrat.</w:t>
      </w:r>
    </w:p>
    <w:p>
      <w:r>
        <w:t xml:space="preserve">(2) Aufgaben und Befugnisse der Organe bestimmt die Satzung, soweit sie nicht durch dieses Gesetz geregelt sind.</w:t>
      </w:r>
    </w:p>
    <w:p>
      <w:r>
        <w:rPr>
          <w:color w:val="555555"/>
          <w:sz w:val="17"/>
        </w:rPr>
        <w:t xml:space="preserve">Zitiervorschlag: § 3 BLEG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