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11 BLEG — Beamte</w:t>
      </w:r>
    </w:p>
    <w:p>
      <w:r>
        <w:rPr>
          <w:color w:val="555555"/>
          <w:sz w:val="18"/>
        </w:rPr>
        <w:t xml:space="preserve">Gesetz über die Errichtung einer Bundesanstalt für Landwirtschaft und Ernährung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Die Bundesanstalt hat Dienstherrenfähigkeit. Ihre Beamten sind Bundesbeamte.</w:t>
      </w:r>
    </w:p>
    <w:p>
      <w:r>
        <w:t xml:space="preserve">(2) Die Beamten der Besoldungsordnung B werden vom Bundespräsidenten ernannt. Im übrigen ernennt der Präsident der Bundesanstalt die Beamten.</w:t>
      </w:r>
    </w:p>
    <w:p>
      <w:r>
        <w:t xml:space="preserve">(3) Oberste Dienstbehörde für den Präsidenten und den Vizepräsidenten der Bundesanstalt ist das Bundesministerium. Für die übrigen Beamten ist oberste Dienstbehörde der Präsident der Bundesanstalt.</w:t>
      </w:r>
    </w:p>
    <w:p>
      <w:r>
        <w:rPr>
          <w:color w:val="555555"/>
          <w:sz w:val="17"/>
        </w:rPr>
        <w:t xml:space="preserve">Zitiervorschlag: § 11 BLEG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https://recht.nulegal.eu/gesetze/BLEG/11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