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BLEBeihÜbertrAnO</w:t>
      </w:r>
    </w:p>
    <w:p>
      <w:r>
        <w:rPr>
          <w:color w:val="555555"/>
          <w:sz w:val="18"/>
        </w:rPr>
        <w:t xml:space="preserve">Anordnung der Bundesanstalt für Landwirtschaft und Ernährung zur Übertragung von Zuständigkeiten in Angelegenheiten der Beihilfe auf die Postbeamtenkrankenkasse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Nach § 80 Absatz 6, § 126 Absatz 3 Satz 2 und § 127 Absatz 3 Satz 2 des Bundesbeamtengesetzes vom 5. Februar 2009 (BGBl. I S. 160), das zuletzt durch Artikel 1 des Gesetzes vom 27. Februar 2025 (BGBl. 2025 I Nr. 72) geändert worden ist, und § 56 Absatz 2 der Bundesbeihilfeverordnung vom 13. Februar 2009 (BGBl. I S. 326), die zuletzt durch Artikel 1 der Verordnung vom 14. Oktober 2025 (BGBl. 2025 I Nr. 240) geändert worden ist, ordnet die Bundesanstalt für Landwirtschaft und Ernährung an:</w:t>
      </w:r>
    </w:p>
    <w:p>
      <w:r>
        <w:rPr>
          <w:color w:val="555555"/>
          <w:sz w:val="17"/>
        </w:rPr>
        <w:t xml:space="preserve">Zitiervorschlag: Eingangsformel BLEBeihÜbertrAnO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https://recht.nulegal.eu/gesetze/BLEBeih%C3%9CbertrAnO/eingangsformel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