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BLEBeihÜbertrAnO — Vertretung in verwaltungsgerichtlichen Verfahren</w:t>
      </w:r>
    </w:p>
    <w:p>
      <w:r>
        <w:rPr>
          <w:color w:val="555555"/>
          <w:sz w:val="18"/>
        </w:rPr>
        <w:t xml:space="preserve">Anordnung der Bundesanstalt für Landwirtschaft und Ernährung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Dem Vorstand der Postbeamtenkrankenkasse wird gemäß § 127 Absatz 3 Satz 1 Bundesbeamtengesetz die Befugnis zur Vertretung der Bundesanstalt für Landwirtschaft und Ernährung in verwaltungsgerichtlichen Verfahren von Beihilfeempfangenden in Beihilfeangelegenheiten übertragen, soweit die Postbeamtenkrankenkasse für den Erlass des Widerspruchsbescheids zuständig war.</w:t>
      </w:r>
    </w:p>
    <w:p>
      <w:r>
        <w:t xml:space="preserve">(2) Die Bundesanstalt für Landwirtschaft und Ernährung behält sich vor, im Einzelfall die Befugnisse nach Absatz 1 selbst auszuüben.</w:t>
      </w:r>
    </w:p>
    <w:p>
      <w:r>
        <w:rPr>
          <w:color w:val="555555"/>
          <w:sz w:val="17"/>
        </w:rPr>
        <w:t xml:space="preserve">Zitiervorschlag: § 3 BLEBeihÜbertrAnO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https://recht.nulegal.eu/gesetze/BLEBeih%C3%9CbertrAnO/3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