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BLEÖLGKostV — Inkrafttreten</w:t>
      </w:r>
    </w:p>
    <w:p>
      <w:r>
        <w:rPr>
          <w:color w:val="555555"/>
          <w:sz w:val="18"/>
        </w:rPr>
        <w:t xml:space="preserve">BLE-ÖLG-Kostenverordnung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6 BLEÖLGKostV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https://recht.nulegal.eu/gesetze/BLE%C3%96LGKostV/6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BLEÖLGKostV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