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BLEÖLGKostV — Übergangsregelung</w:t>
      </w:r>
    </w:p>
    <w:p>
      <w:r>
        <w:rPr>
          <w:color w:val="555555"/>
          <w:sz w:val="18"/>
        </w:rPr>
        <w:t xml:space="preserve">BLE-ÖLG-Kostenverordnung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Leistungen, die vor dem Inkrafttreten dieser Verordnung vorgenommen worden sind, können Gebühren und Auslagen nach Maßgabe des § 2 Abs. 1 und der §§ 3 und 4 erhoben werden, soweit die Bundesanstalt für Landwirtschaft und Ernährung die Erhebung der Gebühren und Auslagen in einem unanfechtbaren Bescheid vorbehalten hat.</w:t>
      </w:r>
    </w:p>
    <w:p>
      <w:r>
        <w:rPr>
          <w:color w:val="555555"/>
          <w:sz w:val="17"/>
        </w:rPr>
        <w:t xml:space="preserve">Zitiervorschlag: § 5 BLEÖLGKostV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https://recht.nulegal.eu/gesetze/BLE%C3%96LGKostV/5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