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BLEÖLGKostV — Auslagen</w:t>
      </w:r>
    </w:p>
    <w:p>
      <w:r>
        <w:rPr>
          <w:color w:val="555555"/>
          <w:sz w:val="18"/>
        </w:rPr>
        <w:t xml:space="preserve">BLE-ÖLG-Kostenverordnung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Vom Kostenschuldner werden die in § 10 Abs. 1 Nr. 2 bis 7 des Verwaltungskostengesetzes in der bis zum 14. August 2013 geltenden Fassung aufgeführten Auslagen erhoben.</w:t>
      </w:r>
    </w:p>
    <w:p>
      <w:r>
        <w:rPr>
          <w:color w:val="555555"/>
          <w:sz w:val="17"/>
        </w:rPr>
        <w:t xml:space="preserve">Zitiervorschlag: § 3 BLEÖLGKostV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https://recht.nulegal.eu/gesetze/BLE%C3%96LGKostV/3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