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BLEÖLGKostV — Erhebung von Gebühren und Auslagen</w:t>
      </w:r>
    </w:p>
    <w:p>
      <w:r>
        <w:rPr>
          <w:color w:val="555555"/>
          <w:sz w:val="18"/>
        </w:rPr>
        <w:t xml:space="preserve">BLE-ÖLG-Kostenverordnung</w:t>
      </w:r>
    </w:p>
    <w:p>
      <w:r>
        <w:rPr>
          <w:color w:val="555555"/>
          <w:sz w:val="18"/>
        </w:rPr>
        <w:t xml:space="preserve">Historische Fassung: Stand 10.06.2019 bis 01.10.2021. Dies ist nicht die aktuelle Fassung.</w:t>
      </w:r>
    </w:p>
    <w:p>
      <w:r>
        <w:t xml:space="preserve">Die Bundesanstalt für Landwirtschaft und Ernährung erhebt für individuell zurechenbare öffentliche Leistungen nach § 2 Absatz 2 des Öko-Landbaugesetzes Gebühren und Auslagen nach dieser Verordnung.</w:t>
      </w:r>
    </w:p>
    <w:p>
      <w:r>
        <w:rPr>
          <w:color w:val="555555"/>
          <w:sz w:val="17"/>
        </w:rPr>
        <w:t xml:space="preserve">Zitiervorschlag: § 1 BLEÖLGKostV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https://recht.nulegal.eu/gesetze/BLE%C3%96LGKostV/1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